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75" w:rsidRDefault="00F75875" w:rsidP="00F75875">
      <w:pPr>
        <w:pStyle w:val="a3"/>
        <w:spacing w:before="0"/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 wp14:anchorId="5C098BC1" wp14:editId="75435EE0">
            <wp:extent cx="541020" cy="701040"/>
            <wp:effectExtent l="0" t="0" r="0" b="3810"/>
            <wp:docPr id="16" name="Рисунок 16" descr="C:\Users\KurushinaNA\Desktop\герб 2007 г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ushinaNA\Desktop\герб 2007 го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875" w:rsidRDefault="00F75875" w:rsidP="00F75875">
      <w:pPr>
        <w:pStyle w:val="a3"/>
        <w:spacing w:before="0"/>
        <w:ind w:left="0"/>
        <w:rPr>
          <w:rFonts w:ascii="Arial" w:hAnsi="Arial" w:cs="Arial"/>
          <w:sz w:val="26"/>
          <w:szCs w:val="26"/>
        </w:rPr>
      </w:pPr>
    </w:p>
    <w:p w:rsidR="00F75875" w:rsidRDefault="00F75875" w:rsidP="00F75875">
      <w:pPr>
        <w:pStyle w:val="2"/>
        <w:spacing w:line="20" w:lineRule="atLeast"/>
        <w:contextualSpacing/>
        <w:rPr>
          <w:i w:val="0"/>
          <w:iCs w:val="0"/>
          <w:sz w:val="32"/>
          <w:szCs w:val="32"/>
        </w:rPr>
      </w:pPr>
      <w:r w:rsidRPr="006846B7">
        <w:rPr>
          <w:i w:val="0"/>
          <w:iCs w:val="0"/>
          <w:sz w:val="32"/>
          <w:szCs w:val="32"/>
        </w:rPr>
        <w:t xml:space="preserve">АДМИНИСТРАЦИЯ </w:t>
      </w:r>
    </w:p>
    <w:p w:rsidR="00F75875" w:rsidRPr="006846B7" w:rsidRDefault="00F75875" w:rsidP="00F75875">
      <w:pPr>
        <w:pStyle w:val="2"/>
        <w:spacing w:line="20" w:lineRule="atLeast"/>
        <w:contextualSpacing/>
        <w:rPr>
          <w:i w:val="0"/>
          <w:iCs w:val="0"/>
          <w:sz w:val="32"/>
          <w:szCs w:val="32"/>
        </w:rPr>
      </w:pPr>
      <w:r>
        <w:rPr>
          <w:i w:val="0"/>
          <w:iCs w:val="0"/>
          <w:sz w:val="32"/>
          <w:szCs w:val="32"/>
        </w:rPr>
        <w:t>УПОРОВСКОГО</w:t>
      </w:r>
      <w:r w:rsidRPr="006846B7">
        <w:rPr>
          <w:i w:val="0"/>
          <w:iCs w:val="0"/>
          <w:sz w:val="32"/>
          <w:szCs w:val="32"/>
        </w:rPr>
        <w:t xml:space="preserve"> МУНИЦИПАЛЬНОГО РАЙОНА</w:t>
      </w:r>
    </w:p>
    <w:p w:rsidR="00F75875" w:rsidRPr="006846B7" w:rsidRDefault="00F75875" w:rsidP="00F75875">
      <w:pPr>
        <w:tabs>
          <w:tab w:val="left" w:pos="3324"/>
        </w:tabs>
        <w:spacing w:line="20" w:lineRule="atLeast"/>
        <w:contextualSpacing/>
        <w:rPr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9A37C" wp14:editId="4EB1BCBD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6055995" cy="0"/>
                <wp:effectExtent l="32385" t="36195" r="36195" b="3048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05pt" to="476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" strokeweight="4.75pt">
                <v:stroke linestyle="thickThin"/>
              </v:line>
            </w:pict>
          </mc:Fallback>
        </mc:AlternateContent>
      </w:r>
      <w:r w:rsidRPr="006846B7">
        <w:rPr>
          <w:b/>
          <w:sz w:val="32"/>
          <w:szCs w:val="32"/>
        </w:rPr>
        <w:tab/>
      </w:r>
    </w:p>
    <w:p w:rsidR="00F75875" w:rsidRDefault="00F75875" w:rsidP="00F75875">
      <w:pPr>
        <w:pStyle w:val="8"/>
        <w:spacing w:line="20" w:lineRule="atLeast"/>
        <w:contextualSpacing/>
        <w:jc w:val="center"/>
        <w:rPr>
          <w:b/>
          <w:sz w:val="32"/>
          <w:szCs w:val="32"/>
        </w:rPr>
      </w:pPr>
    </w:p>
    <w:p w:rsidR="00F75875" w:rsidRDefault="00F75875" w:rsidP="00F75875">
      <w:pPr>
        <w:pStyle w:val="8"/>
        <w:spacing w:line="20" w:lineRule="atLeast"/>
        <w:contextualSpacing/>
        <w:jc w:val="center"/>
        <w:rPr>
          <w:b/>
          <w:sz w:val="24"/>
          <w:szCs w:val="24"/>
        </w:rPr>
      </w:pPr>
      <w:proofErr w:type="gramStart"/>
      <w:r w:rsidRPr="006846B7">
        <w:rPr>
          <w:b/>
          <w:sz w:val="32"/>
          <w:szCs w:val="32"/>
        </w:rPr>
        <w:t>П</w:t>
      </w:r>
      <w:proofErr w:type="gramEnd"/>
      <w:r w:rsidRPr="006846B7">
        <w:rPr>
          <w:b/>
          <w:sz w:val="32"/>
          <w:szCs w:val="32"/>
        </w:rPr>
        <w:t xml:space="preserve"> О С Т А Н О В Л Е Н И Е</w:t>
      </w:r>
    </w:p>
    <w:p w:rsidR="00F75875" w:rsidRPr="005E2D48" w:rsidRDefault="00F75875" w:rsidP="00F75875">
      <w:pPr>
        <w:rPr>
          <w:lang w:eastAsia="ru-RU"/>
        </w:rPr>
      </w:pPr>
    </w:p>
    <w:p w:rsidR="00F75875" w:rsidRPr="006846B7" w:rsidRDefault="00F75875" w:rsidP="00F75875">
      <w:pPr>
        <w:spacing w:line="20" w:lineRule="atLeast"/>
        <w:contextualSpacing/>
        <w:rPr>
          <w:sz w:val="26"/>
          <w:szCs w:val="26"/>
        </w:rPr>
      </w:pPr>
      <w:r w:rsidRPr="006846B7">
        <w:rPr>
          <w:sz w:val="26"/>
          <w:szCs w:val="26"/>
        </w:rPr>
        <w:t xml:space="preserve">_______________                                                                          </w:t>
      </w:r>
      <w:r w:rsidRPr="00DE5B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E5B73">
        <w:rPr>
          <w:rFonts w:ascii="Times New Roman" w:hAnsi="Times New Roman" w:cs="Times New Roman"/>
          <w:sz w:val="26"/>
          <w:szCs w:val="26"/>
        </w:rPr>
        <w:t>№</w:t>
      </w:r>
      <w:r w:rsidRPr="006846B7">
        <w:rPr>
          <w:sz w:val="26"/>
          <w:szCs w:val="26"/>
        </w:rPr>
        <w:t xml:space="preserve"> ___________</w:t>
      </w:r>
    </w:p>
    <w:p w:rsidR="00F75875" w:rsidRPr="003E5258" w:rsidRDefault="00F75875" w:rsidP="00F75875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E5258">
        <w:rPr>
          <w:rFonts w:ascii="Times New Roman" w:hAnsi="Times New Roman" w:cs="Times New Roman"/>
          <w:sz w:val="24"/>
          <w:szCs w:val="24"/>
        </w:rPr>
        <w:t>с. Упорово</w:t>
      </w:r>
    </w:p>
    <w:p w:rsidR="00F51F32" w:rsidRDefault="009031E2" w:rsidP="00DD4B27">
      <w:pPr>
        <w:pStyle w:val="ConsPlusTitle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>О</w:t>
      </w:r>
      <w:r w:rsidR="00DD4B27">
        <w:rPr>
          <w:b w:val="0"/>
          <w:i/>
          <w:sz w:val="26"/>
          <w:szCs w:val="26"/>
        </w:rPr>
        <w:t>б</w:t>
      </w:r>
      <w:r>
        <w:rPr>
          <w:b w:val="0"/>
          <w:i/>
          <w:sz w:val="26"/>
          <w:szCs w:val="26"/>
        </w:rPr>
        <w:t xml:space="preserve">  </w:t>
      </w:r>
      <w:r w:rsidR="00DD4B27">
        <w:rPr>
          <w:b w:val="0"/>
          <w:i/>
          <w:sz w:val="26"/>
          <w:szCs w:val="26"/>
        </w:rPr>
        <w:t xml:space="preserve">определении границ прилегающих </w:t>
      </w:r>
    </w:p>
    <w:p w:rsidR="00F51F32" w:rsidRDefault="00DD4B27" w:rsidP="00DD4B27">
      <w:pPr>
        <w:pStyle w:val="ConsPlusTitle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 xml:space="preserve">к некоторым организациям и объектам </w:t>
      </w:r>
    </w:p>
    <w:p w:rsidR="00DD4B27" w:rsidRDefault="00DD4B27" w:rsidP="00DD4B27">
      <w:pPr>
        <w:pStyle w:val="ConsPlusTitle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>территорий, на которых не допускается</w:t>
      </w:r>
    </w:p>
    <w:p w:rsidR="00DD4B27" w:rsidRDefault="00DD4B27" w:rsidP="00DD4B27">
      <w:pPr>
        <w:pStyle w:val="ConsPlusTitle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>розничная продажа алкогольной продукции</w:t>
      </w:r>
    </w:p>
    <w:p w:rsidR="009031E2" w:rsidRPr="0042202A" w:rsidRDefault="00DD4B27" w:rsidP="00DD4B27">
      <w:pPr>
        <w:pStyle w:val="ConsPlusTitle"/>
        <w:rPr>
          <w:b w:val="0"/>
          <w:i/>
          <w:sz w:val="26"/>
          <w:szCs w:val="26"/>
        </w:rPr>
      </w:pPr>
      <w:r>
        <w:rPr>
          <w:b w:val="0"/>
          <w:i/>
          <w:sz w:val="26"/>
          <w:szCs w:val="26"/>
        </w:rPr>
        <w:t>на территории Упоровского муниципального района</w:t>
      </w:r>
    </w:p>
    <w:p w:rsidR="009031E2" w:rsidRPr="0042202A" w:rsidRDefault="009031E2" w:rsidP="009031E2">
      <w:pPr>
        <w:pStyle w:val="ConsPlusNormal"/>
        <w:jc w:val="both"/>
        <w:rPr>
          <w:i/>
          <w:sz w:val="26"/>
          <w:szCs w:val="26"/>
        </w:rPr>
      </w:pPr>
    </w:p>
    <w:p w:rsidR="009031E2" w:rsidRPr="0043305E" w:rsidRDefault="009031E2" w:rsidP="009031E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43305E">
        <w:rPr>
          <w:sz w:val="26"/>
          <w:szCs w:val="26"/>
        </w:rPr>
        <w:t xml:space="preserve">В </w:t>
      </w:r>
      <w:r w:rsidR="00DD4B27">
        <w:rPr>
          <w:sz w:val="26"/>
          <w:szCs w:val="26"/>
        </w:rPr>
        <w:t>целях реализации Федерального закона от 22.11.1995 № 171-ФЗ «</w:t>
      </w:r>
      <w:r w:rsidRPr="0043305E">
        <w:rPr>
          <w:sz w:val="26"/>
          <w:szCs w:val="26"/>
        </w:rPr>
        <w:t xml:space="preserve">О </w:t>
      </w:r>
      <w:r w:rsidR="00DD4B27">
        <w:rPr>
          <w:sz w:val="26"/>
          <w:szCs w:val="26"/>
        </w:rPr>
        <w:t>государственном регулировании производства и об ограничении потребления (распития) алкогольной продукции»</w:t>
      </w:r>
      <w:r w:rsidRPr="0043305E">
        <w:rPr>
          <w:sz w:val="26"/>
          <w:szCs w:val="26"/>
        </w:rPr>
        <w:t>,</w:t>
      </w:r>
      <w:r w:rsidR="00DD4B27">
        <w:rPr>
          <w:sz w:val="26"/>
          <w:szCs w:val="26"/>
        </w:rPr>
        <w:t xml:space="preserve"> Постановления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</w:t>
      </w:r>
      <w:proofErr w:type="gramEnd"/>
      <w:r w:rsidR="00DD4B27">
        <w:rPr>
          <w:sz w:val="26"/>
          <w:szCs w:val="26"/>
        </w:rPr>
        <w:t xml:space="preserve"> к некоторым организациям и объектам территорий, на которых не допускается розничная продажа алкогольной продукции», в соответствии </w:t>
      </w:r>
      <w:r w:rsidRPr="0043305E">
        <w:rPr>
          <w:sz w:val="26"/>
          <w:szCs w:val="26"/>
        </w:rPr>
        <w:t xml:space="preserve"> </w:t>
      </w:r>
      <w:r w:rsidR="00E13395">
        <w:rPr>
          <w:sz w:val="26"/>
          <w:szCs w:val="26"/>
        </w:rPr>
        <w:t xml:space="preserve">с Федеральным законом </w:t>
      </w:r>
      <w:proofErr w:type="gramStart"/>
      <w:r w:rsidR="00E13395">
        <w:rPr>
          <w:sz w:val="26"/>
          <w:szCs w:val="26"/>
        </w:rPr>
        <w:t>от</w:t>
      </w:r>
      <w:proofErr w:type="gramEnd"/>
      <w:r w:rsidR="00E13395">
        <w:rPr>
          <w:sz w:val="26"/>
          <w:szCs w:val="26"/>
        </w:rPr>
        <w:t xml:space="preserve"> 06.10.2003 № 131-ФЗ «Об общих принципах организации местного самоуправления в Российской Федерации»</w:t>
      </w:r>
      <w:r w:rsidRPr="0043305E">
        <w:rPr>
          <w:sz w:val="26"/>
          <w:szCs w:val="26"/>
        </w:rPr>
        <w:t>:</w:t>
      </w:r>
    </w:p>
    <w:p w:rsidR="009031E2" w:rsidRPr="00033B19" w:rsidRDefault="00F51F32" w:rsidP="009031E2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 w:rsidRPr="00F51F32">
        <w:rPr>
          <w:sz w:val="26"/>
          <w:szCs w:val="26"/>
        </w:rPr>
        <w:t xml:space="preserve">Установить минимальное расстояние от детских, образовательных, объектов спорта, вокзалов, мест массового скопления граждан до границ прилегающих территорий, на которых не допускается розничная продажа алкогольной продукции, равным 40 метров, от </w:t>
      </w:r>
      <w:r w:rsidRPr="00033B19">
        <w:rPr>
          <w:sz w:val="26"/>
          <w:szCs w:val="26"/>
        </w:rPr>
        <w:t>медицинских организаций – 35 метров.</w:t>
      </w:r>
    </w:p>
    <w:p w:rsidR="00F51F32" w:rsidRDefault="00B0591D" w:rsidP="00B0591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proofErr w:type="gramStart"/>
      <w:r w:rsidRPr="00B0591D">
        <w:rPr>
          <w:sz w:val="26"/>
          <w:szCs w:val="26"/>
        </w:rPr>
        <w:t>Способ расчета расстояний от организаций и (или) объектов до границ прилегающих территорий, на которых не допускается розничная продажа алкогольной продукции считать определение расстояния с использованием карты или плана населенного пункта с учетом сложившейся системы дорог, тротуаров, пешеходных путей по кратчайшему маршруту движения пешехода от входа для посетителей в организацию и (или) объект (при отсутствии обособленной территории), от входа для посетителей</w:t>
      </w:r>
      <w:proofErr w:type="gramEnd"/>
      <w:r w:rsidRPr="00B0591D">
        <w:rPr>
          <w:sz w:val="26"/>
          <w:szCs w:val="26"/>
        </w:rPr>
        <w:t xml:space="preserve"> на обособленную территорию организации и (или) объекта (при наличии обособленной территории) до входа для посетителей в стационарный торговый объект</w:t>
      </w:r>
      <w:r w:rsidR="00033B19" w:rsidRPr="00033B19">
        <w:rPr>
          <w:sz w:val="26"/>
          <w:szCs w:val="26"/>
        </w:rPr>
        <w:t>.</w:t>
      </w:r>
    </w:p>
    <w:p w:rsidR="00033B19" w:rsidRDefault="00033B19" w:rsidP="009031E2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Утвердить Положение о порядке определения границ к некоторым организациям и объектам территории, на которых не допускается розничная продажа алкогольной продукции согласно приложению № 1 к настоящему постановлению.</w:t>
      </w:r>
    </w:p>
    <w:p w:rsidR="00033B19" w:rsidRDefault="005304FD" w:rsidP="005F5A3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объектов, на территории которых не допускается розничная продажа алкогольной продукции согласно приложению № 2 к настоящему постановлению.</w:t>
      </w:r>
    </w:p>
    <w:p w:rsidR="005304FD" w:rsidRDefault="005304FD" w:rsidP="005F5A3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 w:rsidRPr="005304FD">
        <w:rPr>
          <w:sz w:val="26"/>
          <w:szCs w:val="26"/>
        </w:rPr>
        <w:t>Утвердить схемы границ прилегающих территорий, на которых не допускается розничная продажа алкогольной продукции</w:t>
      </w:r>
      <w:r w:rsidR="005F5A3D">
        <w:rPr>
          <w:sz w:val="26"/>
          <w:szCs w:val="26"/>
        </w:rPr>
        <w:t xml:space="preserve"> согласно приложению № 3 к настоящему приложению.</w:t>
      </w:r>
    </w:p>
    <w:p w:rsidR="00B0591D" w:rsidRDefault="00B0591D" w:rsidP="005F5A3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принятия.</w:t>
      </w:r>
    </w:p>
    <w:p w:rsidR="005F5A3D" w:rsidRDefault="005F5A3D" w:rsidP="005F5A3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 w:rsidRPr="005F5A3D">
        <w:rPr>
          <w:sz w:val="26"/>
          <w:szCs w:val="26"/>
        </w:rPr>
        <w:t>Постановление администрации Упоровского муниципального района от 25.05.2018 № 1180 «Об 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6"/>
          <w:szCs w:val="26"/>
        </w:rPr>
        <w:t xml:space="preserve"> </w:t>
      </w:r>
      <w:r w:rsidRPr="005F5A3D">
        <w:rPr>
          <w:sz w:val="26"/>
          <w:szCs w:val="26"/>
        </w:rPr>
        <w:t>на территории Упоровского муниципального района</w:t>
      </w:r>
      <w:r>
        <w:rPr>
          <w:sz w:val="26"/>
          <w:szCs w:val="26"/>
        </w:rPr>
        <w:t>» считать утратившим силу.</w:t>
      </w:r>
    </w:p>
    <w:p w:rsidR="005F5A3D" w:rsidRPr="005F5A3D" w:rsidRDefault="005F5A3D" w:rsidP="005F5A3D">
      <w:pPr>
        <w:pStyle w:val="ConsPlusNormal"/>
        <w:numPr>
          <w:ilvl w:val="0"/>
          <w:numId w:val="1"/>
        </w:numPr>
        <w:ind w:left="0" w:firstLine="540"/>
        <w:jc w:val="both"/>
        <w:rPr>
          <w:sz w:val="26"/>
          <w:szCs w:val="26"/>
        </w:rPr>
      </w:pPr>
      <w:r w:rsidRPr="005F5A3D">
        <w:rPr>
          <w:sz w:val="26"/>
          <w:szCs w:val="26"/>
        </w:rPr>
        <w:t xml:space="preserve">Опубликовать настоящее постановление в газете «Знамя правды» и </w:t>
      </w:r>
      <w:proofErr w:type="gramStart"/>
      <w:r w:rsidRPr="005F5A3D">
        <w:rPr>
          <w:sz w:val="26"/>
          <w:szCs w:val="26"/>
        </w:rPr>
        <w:t>разместить его</w:t>
      </w:r>
      <w:proofErr w:type="gramEnd"/>
      <w:r w:rsidRPr="005F5A3D">
        <w:rPr>
          <w:sz w:val="26"/>
          <w:szCs w:val="26"/>
        </w:rPr>
        <w:t xml:space="preserve"> на официальном сайте Администрации Упоровского муниципального района в сети «Интернет».</w:t>
      </w:r>
    </w:p>
    <w:p w:rsidR="009031E2" w:rsidRPr="0043305E" w:rsidRDefault="00B0591D" w:rsidP="00203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</w:t>
      </w:r>
      <w:r w:rsidR="009031E2" w:rsidRPr="0043305E">
        <w:rPr>
          <w:rFonts w:ascii="Arial" w:hAnsi="Arial" w:cs="Arial"/>
          <w:sz w:val="26"/>
          <w:szCs w:val="26"/>
        </w:rPr>
        <w:t xml:space="preserve">. </w:t>
      </w:r>
      <w:proofErr w:type="gramStart"/>
      <w:r w:rsidR="009031E2" w:rsidRPr="0043305E">
        <w:rPr>
          <w:rFonts w:ascii="Arial" w:hAnsi="Arial" w:cs="Arial"/>
          <w:sz w:val="26"/>
          <w:szCs w:val="26"/>
        </w:rPr>
        <w:t>Контроль за</w:t>
      </w:r>
      <w:proofErr w:type="gramEnd"/>
      <w:r w:rsidR="009031E2" w:rsidRPr="0043305E">
        <w:rPr>
          <w:rFonts w:ascii="Arial" w:hAnsi="Arial" w:cs="Arial"/>
          <w:sz w:val="26"/>
          <w:szCs w:val="26"/>
        </w:rPr>
        <w:t xml:space="preserve"> исполнением настоящего постановлен</w:t>
      </w:r>
      <w:r w:rsidR="009031E2">
        <w:rPr>
          <w:rFonts w:ascii="Arial" w:hAnsi="Arial" w:cs="Arial"/>
          <w:sz w:val="26"/>
          <w:szCs w:val="26"/>
        </w:rPr>
        <w:t xml:space="preserve">ия </w:t>
      </w:r>
      <w:r w:rsidR="002030AD">
        <w:rPr>
          <w:rFonts w:ascii="Arial" w:hAnsi="Arial" w:cs="Arial"/>
          <w:sz w:val="26"/>
          <w:szCs w:val="26"/>
        </w:rPr>
        <w:t>возложить на первого заместителя главы района</w:t>
      </w:r>
      <w:r w:rsidR="009031E2">
        <w:rPr>
          <w:rFonts w:ascii="Arial" w:hAnsi="Arial" w:cs="Arial"/>
          <w:sz w:val="26"/>
          <w:szCs w:val="26"/>
        </w:rPr>
        <w:t>.</w:t>
      </w:r>
    </w:p>
    <w:p w:rsidR="009031E2" w:rsidRDefault="009031E2" w:rsidP="009031E2">
      <w:pPr>
        <w:pStyle w:val="ConsPlusNormal"/>
        <w:ind w:firstLine="708"/>
        <w:jc w:val="both"/>
        <w:rPr>
          <w:sz w:val="28"/>
          <w:szCs w:val="28"/>
        </w:rPr>
      </w:pPr>
    </w:p>
    <w:p w:rsidR="005F5A3D" w:rsidRDefault="005F5A3D" w:rsidP="009031E2">
      <w:pPr>
        <w:pStyle w:val="ConsPlusNormal"/>
        <w:ind w:firstLine="708"/>
        <w:jc w:val="both"/>
        <w:rPr>
          <w:sz w:val="28"/>
          <w:szCs w:val="28"/>
        </w:rPr>
      </w:pPr>
    </w:p>
    <w:p w:rsidR="009031E2" w:rsidRPr="0043305E" w:rsidRDefault="00E13395" w:rsidP="009031E2">
      <w:pPr>
        <w:pStyle w:val="ConsPlusNormal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9031E2" w:rsidRPr="0043305E">
        <w:rPr>
          <w:sz w:val="26"/>
          <w:szCs w:val="26"/>
        </w:rPr>
        <w:t xml:space="preserve"> района</w:t>
      </w:r>
      <w:r w:rsidR="009031E2" w:rsidRPr="0043305E">
        <w:rPr>
          <w:sz w:val="26"/>
          <w:szCs w:val="26"/>
        </w:rPr>
        <w:tab/>
      </w:r>
      <w:r w:rsidR="009031E2" w:rsidRPr="0043305E">
        <w:rPr>
          <w:sz w:val="26"/>
          <w:szCs w:val="26"/>
        </w:rPr>
        <w:tab/>
      </w:r>
      <w:r w:rsidR="009031E2" w:rsidRPr="0043305E">
        <w:rPr>
          <w:sz w:val="26"/>
          <w:szCs w:val="26"/>
        </w:rPr>
        <w:tab/>
        <w:t xml:space="preserve">   </w:t>
      </w:r>
      <w:r w:rsidR="00EA463F">
        <w:rPr>
          <w:sz w:val="26"/>
          <w:szCs w:val="26"/>
        </w:rPr>
        <w:t xml:space="preserve">     </w:t>
      </w:r>
      <w:r w:rsidR="009031E2" w:rsidRPr="0043305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</w:t>
      </w:r>
      <w:r w:rsidR="009031E2" w:rsidRPr="0043305E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Л.Н. </w:t>
      </w:r>
      <w:proofErr w:type="spellStart"/>
      <w:r>
        <w:rPr>
          <w:sz w:val="26"/>
          <w:szCs w:val="26"/>
        </w:rPr>
        <w:t>Сауков</w:t>
      </w:r>
      <w:proofErr w:type="spellEnd"/>
    </w:p>
    <w:p w:rsidR="00654E07" w:rsidRDefault="00654E07" w:rsidP="00654E07">
      <w:pPr>
        <w:pStyle w:val="ConsPlusNormal"/>
        <w:ind w:firstLine="0"/>
        <w:jc w:val="both"/>
        <w:rPr>
          <w:sz w:val="26"/>
          <w:szCs w:val="26"/>
        </w:rPr>
      </w:pPr>
    </w:p>
    <w:p w:rsidR="009031E2" w:rsidRPr="00180F24" w:rsidRDefault="009031E2" w:rsidP="00654E07">
      <w:pPr>
        <w:pStyle w:val="ConsPlusNormal"/>
        <w:ind w:firstLine="0"/>
        <w:jc w:val="both"/>
        <w:rPr>
          <w:sz w:val="26"/>
          <w:szCs w:val="26"/>
        </w:rPr>
      </w:pPr>
    </w:p>
    <w:p w:rsidR="00A40B43" w:rsidRDefault="00A40B43"/>
    <w:p w:rsidR="00FF2CCF" w:rsidRDefault="00FF2CCF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E13395" w:rsidRDefault="00E13395"/>
    <w:p w:rsidR="005F5A3D" w:rsidRDefault="005F5A3D" w:rsidP="00AB242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AB242B" w:rsidRPr="00AB242B" w:rsidRDefault="00AB242B" w:rsidP="00AB242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AB242B">
        <w:rPr>
          <w:rFonts w:ascii="Arial" w:eastAsia="Times New Roman" w:hAnsi="Arial" w:cs="Arial"/>
          <w:sz w:val="26"/>
          <w:szCs w:val="26"/>
          <w:lang w:eastAsia="ru-RU"/>
        </w:rPr>
        <w:t>СОГЛАСОВАНО</w:t>
      </w:r>
    </w:p>
    <w:p w:rsidR="00AB242B" w:rsidRPr="00AB242B" w:rsidRDefault="00AB242B" w:rsidP="00AB24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701"/>
        <w:gridCol w:w="2517"/>
      </w:tblGrid>
      <w:tr w:rsidR="00AB242B" w:rsidRPr="00AB242B" w:rsidTr="007F2742">
        <w:tc>
          <w:tcPr>
            <w:tcW w:w="5353" w:type="dxa"/>
          </w:tcPr>
          <w:p w:rsidR="00AB242B" w:rsidRDefault="00E13395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Первый заместитель главы района</w:t>
            </w:r>
          </w:p>
          <w:p w:rsidR="00E13395" w:rsidRPr="00AB242B" w:rsidRDefault="00E13395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AB242B" w:rsidRPr="00AB242B" w:rsidRDefault="00AB242B" w:rsidP="00AB242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2517" w:type="dxa"/>
            <w:vAlign w:val="bottom"/>
          </w:tcPr>
          <w:p w:rsidR="00AB242B" w:rsidRDefault="00E13395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Н.А. Васильева</w:t>
            </w:r>
          </w:p>
          <w:p w:rsidR="00E13395" w:rsidRPr="00AB242B" w:rsidRDefault="00E13395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</w:tr>
      <w:tr w:rsidR="00AB242B" w:rsidRPr="00AB242B" w:rsidTr="007F2742">
        <w:tc>
          <w:tcPr>
            <w:tcW w:w="5353" w:type="dxa"/>
            <w:hideMark/>
          </w:tcPr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 xml:space="preserve">Начальник правового управления </w:t>
            </w:r>
          </w:p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AB242B" w:rsidRPr="00AB242B" w:rsidRDefault="00AB242B" w:rsidP="00AB242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2517" w:type="dxa"/>
            <w:vAlign w:val="bottom"/>
            <w:hideMark/>
          </w:tcPr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 xml:space="preserve">С.В. </w:t>
            </w:r>
            <w:proofErr w:type="spellStart"/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>Коляченкова</w:t>
            </w:r>
            <w:proofErr w:type="spellEnd"/>
          </w:p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</w:tr>
      <w:tr w:rsidR="00AB242B" w:rsidRPr="00AB242B" w:rsidTr="007F2742">
        <w:tc>
          <w:tcPr>
            <w:tcW w:w="5353" w:type="dxa"/>
            <w:hideMark/>
          </w:tcPr>
          <w:p w:rsid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 xml:space="preserve">Председатель комитета </w:t>
            </w:r>
          </w:p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>по экономике и прогнозированию</w:t>
            </w:r>
          </w:p>
        </w:tc>
        <w:tc>
          <w:tcPr>
            <w:tcW w:w="1701" w:type="dxa"/>
            <w:vAlign w:val="bottom"/>
          </w:tcPr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2517" w:type="dxa"/>
            <w:vAlign w:val="bottom"/>
            <w:hideMark/>
          </w:tcPr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>Т.В. Ярцева</w:t>
            </w:r>
          </w:p>
        </w:tc>
      </w:tr>
      <w:tr w:rsidR="00AB242B" w:rsidRPr="00AB242B" w:rsidTr="007F2742">
        <w:tc>
          <w:tcPr>
            <w:tcW w:w="5353" w:type="dxa"/>
            <w:hideMark/>
          </w:tcPr>
          <w:p w:rsid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  <w:p w:rsid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 xml:space="preserve">Ведущий специалист </w:t>
            </w:r>
          </w:p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>по делопроизводству и контролю</w:t>
            </w:r>
          </w:p>
        </w:tc>
        <w:tc>
          <w:tcPr>
            <w:tcW w:w="1701" w:type="dxa"/>
            <w:vAlign w:val="bottom"/>
          </w:tcPr>
          <w:p w:rsidR="00AB242B" w:rsidRPr="00AB242B" w:rsidRDefault="00AB242B" w:rsidP="00AB242B">
            <w:pPr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2517" w:type="dxa"/>
            <w:vAlign w:val="bottom"/>
            <w:hideMark/>
          </w:tcPr>
          <w:p w:rsidR="00AB242B" w:rsidRPr="00AB242B" w:rsidRDefault="00AB242B" w:rsidP="00AB242B">
            <w:pPr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AB242B">
              <w:rPr>
                <w:rFonts w:ascii="Arial" w:hAnsi="Arial" w:cs="Arial"/>
                <w:sz w:val="26"/>
                <w:szCs w:val="26"/>
                <w:lang w:eastAsia="en-US"/>
              </w:rPr>
              <w:t>Т.В. Королева</w:t>
            </w:r>
          </w:p>
        </w:tc>
      </w:tr>
    </w:tbl>
    <w:p w:rsidR="00AB242B" w:rsidRPr="00AB242B" w:rsidRDefault="00AB242B" w:rsidP="00AB24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B242B" w:rsidRPr="00AB242B" w:rsidRDefault="00AB242B" w:rsidP="00AB24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B242B" w:rsidRPr="00AB242B" w:rsidRDefault="00AB242B" w:rsidP="00AB2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42B" w:rsidRPr="00AB242B" w:rsidRDefault="00AB242B" w:rsidP="00AB2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42B" w:rsidRPr="00AB242B" w:rsidRDefault="00AB242B" w:rsidP="00AB2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AB242B" w:rsidRDefault="00AB242B" w:rsidP="00AB2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242B" w:rsidRPr="0049504C" w:rsidRDefault="00AB242B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49504C">
        <w:rPr>
          <w:rFonts w:ascii="Arial" w:eastAsia="Times New Roman" w:hAnsi="Arial" w:cs="Arial"/>
          <w:sz w:val="16"/>
          <w:szCs w:val="16"/>
          <w:lang w:eastAsia="ru-RU"/>
        </w:rPr>
        <w:t>Исполнитель: Смирнова Юлия Юрьевна</w:t>
      </w:r>
    </w:p>
    <w:p w:rsidR="00AB242B" w:rsidRPr="0049504C" w:rsidRDefault="00AB242B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49504C">
        <w:rPr>
          <w:rFonts w:ascii="Arial" w:eastAsia="Times New Roman" w:hAnsi="Arial" w:cs="Arial"/>
          <w:sz w:val="16"/>
          <w:szCs w:val="16"/>
          <w:lang w:eastAsia="ru-RU"/>
        </w:rPr>
        <w:t xml:space="preserve"> 8 (34541) 3-16-31</w:t>
      </w:r>
    </w:p>
    <w:p w:rsidR="00AB242B" w:rsidRPr="0049504C" w:rsidRDefault="00AB242B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49504C">
        <w:rPr>
          <w:rFonts w:ascii="Arial" w:eastAsia="Times New Roman" w:hAnsi="Arial" w:cs="Arial"/>
          <w:sz w:val="16"/>
          <w:szCs w:val="16"/>
          <w:lang w:eastAsia="ru-RU"/>
        </w:rPr>
        <w:t>1 экземпляр в дело</w:t>
      </w:r>
    </w:p>
    <w:p w:rsidR="00AB242B" w:rsidRDefault="00AB242B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49504C">
        <w:rPr>
          <w:rFonts w:ascii="Arial" w:eastAsia="Times New Roman" w:hAnsi="Arial" w:cs="Arial"/>
          <w:sz w:val="16"/>
          <w:szCs w:val="16"/>
          <w:lang w:eastAsia="ru-RU"/>
        </w:rPr>
        <w:t>1 экземпляр Комитет по экономике и прогнозированию</w:t>
      </w:r>
    </w:p>
    <w:p w:rsidR="00EA463F" w:rsidRDefault="00EA463F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t>1 экземпляр Сектор информатизации</w:t>
      </w:r>
    </w:p>
    <w:p w:rsidR="005F5A3D" w:rsidRPr="0049504C" w:rsidRDefault="005F5A3D" w:rsidP="00AB242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t>1 экземпляр газета «Знамя правды»</w:t>
      </w:r>
    </w:p>
    <w:p w:rsidR="00AB242B" w:rsidRPr="0049504C" w:rsidRDefault="00AB242B" w:rsidP="00AB242B">
      <w:pPr>
        <w:spacing w:after="0" w:line="240" w:lineRule="auto"/>
        <w:rPr>
          <w:rFonts w:ascii="Arial" w:eastAsia="Times New Roman" w:hAnsi="Arial" w:cs="Arial"/>
          <w:color w:val="000000" w:themeColor="text1"/>
          <w:kern w:val="3"/>
          <w:sz w:val="28"/>
          <w:szCs w:val="20"/>
          <w:lang w:eastAsia="zh-CN"/>
        </w:rPr>
      </w:pPr>
    </w:p>
    <w:p w:rsidR="00AB242B" w:rsidRDefault="00AB242B" w:rsidP="00AB242B">
      <w:pPr>
        <w:jc w:val="center"/>
      </w:pPr>
    </w:p>
    <w:p w:rsidR="00FF2CCF" w:rsidRDefault="00FF2CCF" w:rsidP="00AB242B">
      <w:pPr>
        <w:jc w:val="center"/>
      </w:pPr>
    </w:p>
    <w:p w:rsidR="00FF2CCF" w:rsidRDefault="00FF2CC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Default="00B3169F" w:rsidP="00AB242B">
      <w:pPr>
        <w:jc w:val="center"/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B3169F">
        <w:rPr>
          <w:rFonts w:ascii="Arial" w:eastAsia="Times New Roman" w:hAnsi="Arial" w:cs="Arial"/>
          <w:sz w:val="26"/>
          <w:szCs w:val="26"/>
          <w:lang w:eastAsia="ru-RU"/>
        </w:rPr>
        <w:t>Приложение № 1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B3169F">
        <w:rPr>
          <w:rFonts w:ascii="Arial" w:eastAsia="Times New Roman" w:hAnsi="Arial" w:cs="Arial"/>
          <w:sz w:val="26"/>
          <w:szCs w:val="26"/>
          <w:lang w:eastAsia="ru-RU"/>
        </w:rPr>
        <w:t xml:space="preserve">к постановлению администрации 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B3169F">
        <w:rPr>
          <w:rFonts w:ascii="Arial" w:eastAsia="Times New Roman" w:hAnsi="Arial" w:cs="Arial"/>
          <w:sz w:val="26"/>
          <w:szCs w:val="26"/>
          <w:lang w:eastAsia="ru-RU"/>
        </w:rPr>
        <w:t>Упоровского</w:t>
      </w:r>
      <w:proofErr w:type="spellEnd"/>
      <w:r w:rsidRPr="00B3169F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B3169F"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Pr="00B3169F">
        <w:rPr>
          <w:rFonts w:ascii="Arial" w:eastAsia="Times New Roman" w:hAnsi="Arial" w:cs="Arial"/>
          <w:sz w:val="26"/>
          <w:szCs w:val="26"/>
          <w:u w:val="single"/>
          <w:lang w:eastAsia="ru-RU"/>
        </w:rPr>
        <w:t>__________</w:t>
      </w:r>
      <w:r w:rsidRPr="00B3169F">
        <w:rPr>
          <w:rFonts w:ascii="Arial" w:eastAsia="Times New Roman" w:hAnsi="Arial" w:cs="Arial"/>
          <w:sz w:val="26"/>
          <w:szCs w:val="26"/>
          <w:lang w:eastAsia="ru-RU"/>
        </w:rPr>
        <w:t>_ № _</w:t>
      </w:r>
      <w:r w:rsidRPr="00B3169F">
        <w:rPr>
          <w:rFonts w:ascii="Arial" w:eastAsia="Times New Roman" w:hAnsi="Arial" w:cs="Arial"/>
          <w:sz w:val="26"/>
          <w:szCs w:val="26"/>
          <w:u w:val="single"/>
          <w:lang w:eastAsia="ru-RU"/>
        </w:rPr>
        <w:t>___</w:t>
      </w:r>
      <w:r w:rsidRPr="00B3169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9"/>
      <w:bookmarkEnd w:id="0"/>
      <w:r w:rsidRPr="00B3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ОПРЕДЕЛЕНИЯ ГРАНИЦ К НЕКОТОРЫМ ОРГАНИЗАЦИЯМ И ОБЪЕКТАМ ТЕРРИТОРИИ, НА КОТОРЫХ НЕ ДОПУСКАЕТСЯ РОЗНИЧНАЯ ПРОДАЖА АЛКОГОЛЬНОЙ ПРОДУКЦИИ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 Федеральным </w:t>
      </w:r>
      <w:hyperlink r:id="rId8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9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Постановлением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</w:t>
      </w:r>
      <w:hyperlink r:id="rId10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Тюменской области от 26.12.2014  N 125 "О перераспределении </w:t>
      </w:r>
      <w:r w:rsidRPr="00B31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между органами местного самоуправления  Тюменской области и органами государственной власти  Тюменской области и о внесении  изменений  в статью 14 закона Тюменской области «О порядке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 и управления государственными землями  Тюменской области».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Настоящим Положением установлено расстояние от организаций и (или) объектов, в которых запрещена розничная продажа алкогольной продукции, до границ прилегающих территорий и способ расчета расстояния.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границ прилегающих территорий для каждой организации и (или) объекта, на которых не допускается розничная продажа алкогольной продукции, утверждаются Администрацией </w:t>
      </w:r>
      <w:proofErr w:type="spell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Упоровского</w:t>
      </w:r>
      <w:proofErr w:type="spell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подлежат опубликованию в порядке, установленном для официального опубликования муниципальных правовых актов </w:t>
      </w:r>
      <w:proofErr w:type="spell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Упоровского</w:t>
      </w:r>
      <w:proofErr w:type="spell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размещению на официальном сайте Администрации </w:t>
      </w:r>
      <w:proofErr w:type="spell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Упоровского</w:t>
      </w:r>
      <w:proofErr w:type="spell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направляются в Департамент потребительского рынка и туризма Тюменской области.</w:t>
      </w:r>
      <w:proofErr w:type="gramEnd"/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понятия и термины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Детские организации - организации, осуществляющие деятельность по дошкольному и начальному общему образованию (по Общероссийскому </w:t>
      </w:r>
      <w:hyperlink r:id="rId11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классификатору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экономической деятельности код 80.1, кроме кода 80.10.3 - дополнительное образование детей).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Образовательные организации - организации, определенные в соответствии с </w:t>
      </w:r>
      <w:hyperlink r:id="rId12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"Об образовании" и имеющие лицензию на осуществление образовательной деятельности.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 является учреждение, осуществляющее образовательный процесс, то есть реализующее одну или несколько образовательных программ и обеспечивающее содержание, и воспитание обучающихся, воспитанников.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учреждения следующих типов: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дошкольные;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общеобразовательные (начального общего, основного общего, среднего (полного) общего образования);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начального профессионального, среднего профессионального, высшего профессионального и послевузовского профессионального образования;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дополнительного образования взрослых;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специальные (коррекционные) для обучающихся, воспитанников с ограниченными возможностями здоровья;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для детей-сирот и детей, оставшихся без попечения родителей (законных представителей);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дополнительного образования детей;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учреждения, осуществляющие образовательный процесс.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Медицинская организация -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медицинским организациям приравниваются индивидуальные предприниматели, осуществляющие медицинскую деятельность.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медицинским организациям не относятся фармацевтические организации. Установление прилегающих территорий к организациям, осуществляющим фармацевтическую деятельность (аптечным пунктам, киоскам, магазинам и пр.), не требуется.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Объекты спорта - объекты недвижимого имущества или комплексы недвижимого имущества, специально предназначенные для проведения физкультурных мероприятий и спортивных мероприятий, в том числе </w:t>
      </w: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спортивные сооружения.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Спортивное сооружение - инженерно-строительный объект, созданный для проведения физкультурных мероприятий и спортивных мероприятий и имеющих пространственно-территориальные границы.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Обособленная территория - территория, границы которой обозначены ограждением (объектами искусственного происхождения (забором)), прилегающая к зданию (строению, сооружению), в котором расположены организации и (или) объекты.</w:t>
      </w:r>
      <w:proofErr w:type="gramEnd"/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Прилегающая территория - территория, которая включает обособленную территорию (при наличии таковой), а также территорию, определяемую с учетом конкретных особенностей местности и застройки, примыкающая к границам обособленной территории либо непосредственно к зданию (строению, сооружению), в котором расположены организации и (или) объекты (далее дополнительная территория).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Стационарный торговый объект - 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присоединенные к сетям инженерно-технического обеспечения, в котором осуществляется розничная продажа алкогольной продукции.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 расчета расстояния от организаций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объектов, в которых запрещена розничная продажа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алкогольной продукции, до границ прилегающих территорий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Комитет по экономике и прогнозированию (далее - Комитет) является уполномоченным органом по определению границ прилегающих территорий, на которых не допускается розничная продажа алкогольной продукции.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установлении минимального значения расстояния от организаций и (или) объектов до границ прилегающих территорий учитываются: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необходимость сохранения сформировавшейся сети организаций торговли и общественного питания;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торговых объектов и удовлетворение потребностей населения, проживающего на соответствующей территории, в алкогольной продукции.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Дополнительная территория определяется: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обособленной территории - от входа для посетителей на обособленную территорию до входа для посетителей в стационарный торговый объект;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 отсутствии обособленной территории - от входа для посетителей в здание (строение, сооружение), в котором расположены организации или объекты, до входа для посетителей в стационарный торговый объект;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нескольких входов прилегающая территория определяется от каждого входа для посетителей организации и (или) объекта до каждого входа для посетителей в стационарный торговый объект;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стационарного торгового объекта внутри торгового центра (торгового комплекса) дополнительно учитывается расстояние, проходящее внутри торгового центра (торгового комплекса), здания, строения, непосредственно до входа для посетителей в стационарный торговый объект.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расчета расстояний от организаций и (или) объектов до границ прилегающих территорий, на которых не допускается розничная продажа алкогольной продукции считать определение расстояния с использованием карты или плана населенного пункта с учетом сложившейся системы дорог, тротуаров, пешеходных путей по кратчайшему маршруту движения пешехода от входа для посетителей в организацию и (или) объект (при отсутствии обособленной территории), от входа для посетителей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обособленную территорию организации и (или) объекта (при наличии обособленной территории) до входа для посетителей в стационарный торговый объект.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Определение прилегающих территорий к местам массового скопления граждан и местам нахождения источников повышенной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опасности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которых не допускается розничная продажа алкогольной продукции проводится в соответствии с Постановлением Правительства Тюменской области №168-п от 27 мая 2013 года.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 отведенные места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преимущественного общественного – политического характера  в Тюменской области в отношении публичных мероприятий, уведомление о проведении которых не требуется, установленные правительством Тюменской области от 19.04.2013 №125-п. (Центральная площадь Дома Культуры с. Упорово).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оформления схем границ прилегающих территорий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организации и (или) объекта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Схемы границ прилегающих территорий соотносятся с местностью (с указанием наименования улиц, номеров домов, примыкающих к организации и (или) объекту).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схеме границ прилегающих территорий, на которых не допускается розничная продажа алкогольной продукции, отмечаются </w:t>
      </w: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и (или) объект, а также зона, на которой не допускается розничная продажа алкогольной продукции.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Схемы границ прилегающих территорий оформляются в соответствии с </w:t>
      </w:r>
      <w:hyperlink r:id="rId13" w:history="1">
        <w:r w:rsidRPr="00B3169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пунктом 3.3</w:t>
        </w:r>
      </w:hyperlink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оформления кадастрового плана земельного участка ГКЗ-1-Т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-04-01-01, утвержденных Федеральной службой земельного кадастра России 10 апреля 2001 года.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Положения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Комитет по экономике и прогнозированию </w:t>
      </w:r>
      <w:proofErr w:type="spell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Упоровского</w:t>
      </w:r>
      <w:proofErr w:type="spell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отслеживает открытие новых объектов, вблизи которых не допускается розничная продажа алкогольной продукции, на стадии приема заявлений хозяйствующих субъектов, которые осуществляют торговую деятельность на территории </w:t>
      </w:r>
      <w:proofErr w:type="spellStart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Упоровского</w:t>
      </w:r>
      <w:proofErr w:type="spellEnd"/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</w:p>
    <w:p w:rsidR="00B3169F" w:rsidRPr="00B3169F" w:rsidRDefault="00B3169F" w:rsidP="00B316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рассмотрения заявления оформляются обновленные схемы границ прилегающих территорий, которые направляются в Департамент потребительского рынка и туризма Тюменской области.</w:t>
      </w:r>
    </w:p>
    <w:p w:rsidR="00B3169F" w:rsidRPr="00B3169F" w:rsidRDefault="00B3169F" w:rsidP="00B3169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B3169F" w:rsidRP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bookmarkStart w:id="1" w:name="_GoBack"/>
      <w:bookmarkEnd w:id="1"/>
      <w:r w:rsidRPr="00B3169F">
        <w:rPr>
          <w:rFonts w:ascii="Arial" w:hAnsi="Arial" w:cs="Arial"/>
          <w:sz w:val="26"/>
          <w:szCs w:val="26"/>
        </w:rPr>
        <w:t>Приложение № 2</w:t>
      </w:r>
    </w:p>
    <w:p w:rsidR="00B3169F" w:rsidRP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B3169F">
        <w:rPr>
          <w:rFonts w:ascii="Arial" w:hAnsi="Arial" w:cs="Arial"/>
          <w:sz w:val="26"/>
          <w:szCs w:val="26"/>
        </w:rPr>
        <w:t xml:space="preserve">к постановлению администрации </w:t>
      </w:r>
    </w:p>
    <w:p w:rsidR="00B3169F" w:rsidRP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proofErr w:type="spellStart"/>
      <w:r w:rsidRPr="00B3169F">
        <w:rPr>
          <w:rFonts w:ascii="Arial" w:hAnsi="Arial" w:cs="Arial"/>
          <w:sz w:val="26"/>
          <w:szCs w:val="26"/>
        </w:rPr>
        <w:t>Упоровского</w:t>
      </w:r>
      <w:proofErr w:type="spellEnd"/>
      <w:r w:rsidRPr="00B3169F">
        <w:rPr>
          <w:rFonts w:ascii="Arial" w:hAnsi="Arial" w:cs="Arial"/>
          <w:sz w:val="26"/>
          <w:szCs w:val="26"/>
        </w:rPr>
        <w:t xml:space="preserve"> муниципального района</w:t>
      </w:r>
    </w:p>
    <w:p w:rsidR="00B3169F" w:rsidRP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B3169F">
        <w:rPr>
          <w:rFonts w:ascii="Arial" w:hAnsi="Arial" w:cs="Arial"/>
          <w:sz w:val="26"/>
          <w:szCs w:val="26"/>
        </w:rPr>
        <w:t>от _</w:t>
      </w:r>
      <w:r w:rsidRPr="00B3169F">
        <w:rPr>
          <w:rFonts w:ascii="Arial" w:hAnsi="Arial" w:cs="Arial"/>
          <w:sz w:val="26"/>
          <w:szCs w:val="26"/>
          <w:u w:val="single"/>
        </w:rPr>
        <w:t>________</w:t>
      </w:r>
      <w:r w:rsidRPr="00B3169F">
        <w:rPr>
          <w:rFonts w:ascii="Arial" w:hAnsi="Arial" w:cs="Arial"/>
          <w:sz w:val="26"/>
          <w:szCs w:val="26"/>
        </w:rPr>
        <w:t>_ № _</w:t>
      </w:r>
      <w:r w:rsidRPr="00B3169F">
        <w:rPr>
          <w:rFonts w:ascii="Arial" w:hAnsi="Arial" w:cs="Arial"/>
          <w:sz w:val="26"/>
          <w:szCs w:val="26"/>
          <w:u w:val="single"/>
        </w:rPr>
        <w:t>___</w:t>
      </w:r>
      <w:r w:rsidRPr="00B3169F">
        <w:rPr>
          <w:rFonts w:ascii="Arial" w:hAnsi="Arial" w:cs="Arial"/>
          <w:sz w:val="26"/>
          <w:szCs w:val="26"/>
        </w:rPr>
        <w:t>_</w:t>
      </w:r>
    </w:p>
    <w:p w:rsidR="00B3169F" w:rsidRPr="00B3169F" w:rsidRDefault="00B3169F" w:rsidP="00B3169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B3169F" w:rsidRPr="00B3169F" w:rsidRDefault="00B3169F" w:rsidP="00B3169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3169F">
        <w:rPr>
          <w:rFonts w:ascii="Arial" w:hAnsi="Arial" w:cs="Arial"/>
          <w:b/>
          <w:sz w:val="24"/>
          <w:szCs w:val="24"/>
        </w:rPr>
        <w:t>Перечень объектов</w:t>
      </w:r>
      <w:r w:rsidRPr="00B3169F">
        <w:rPr>
          <w:rFonts w:ascii="Arial" w:hAnsi="Arial" w:cs="Arial"/>
          <w:sz w:val="24"/>
          <w:szCs w:val="24"/>
        </w:rPr>
        <w:t xml:space="preserve">, </w:t>
      </w:r>
    </w:p>
    <w:p w:rsidR="00B3169F" w:rsidRPr="00B3169F" w:rsidRDefault="00B3169F" w:rsidP="00B3169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3169F">
        <w:rPr>
          <w:rFonts w:ascii="Arial" w:hAnsi="Arial" w:cs="Arial"/>
          <w:sz w:val="24"/>
          <w:szCs w:val="24"/>
        </w:rPr>
        <w:t xml:space="preserve">на </w:t>
      </w:r>
      <w:proofErr w:type="gramStart"/>
      <w:r w:rsidRPr="00B3169F">
        <w:rPr>
          <w:rFonts w:ascii="Arial" w:hAnsi="Arial" w:cs="Arial"/>
          <w:sz w:val="24"/>
          <w:szCs w:val="24"/>
        </w:rPr>
        <w:t>территории</w:t>
      </w:r>
      <w:proofErr w:type="gramEnd"/>
      <w:r w:rsidRPr="00B3169F">
        <w:rPr>
          <w:rFonts w:ascii="Arial" w:hAnsi="Arial" w:cs="Arial"/>
          <w:sz w:val="24"/>
          <w:szCs w:val="24"/>
        </w:rPr>
        <w:t xml:space="preserve"> которых не допускается розничная продажа </w:t>
      </w:r>
    </w:p>
    <w:p w:rsidR="00B3169F" w:rsidRPr="00B3169F" w:rsidRDefault="00B3169F" w:rsidP="00B3169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3169F">
        <w:rPr>
          <w:rFonts w:ascii="Arial" w:hAnsi="Arial" w:cs="Arial"/>
          <w:sz w:val="24"/>
          <w:szCs w:val="24"/>
        </w:rPr>
        <w:t>алкогольной продукции</w:t>
      </w:r>
    </w:p>
    <w:p w:rsidR="00B3169F" w:rsidRPr="00B3169F" w:rsidRDefault="00B3169F" w:rsidP="00B3169F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21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827"/>
        <w:gridCol w:w="1418"/>
        <w:gridCol w:w="1559"/>
      </w:tblGrid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Адрес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Расстояние в метрах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№ схемы границ прилегающих территорий в приложении (не приводится) к постановлению</w:t>
            </w:r>
          </w:p>
        </w:tc>
      </w:tr>
      <w:tr w:rsidR="00B3169F" w:rsidRPr="00B3169F" w:rsidTr="00F52D7B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Автостанция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Автостанция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Заводская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3169F" w:rsidRPr="00B3169F" w:rsidTr="00F52D7B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Образовательные организации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Буньково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Мира,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Рабочая, 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 пер. Школьный,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Ингалинское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 Школьная,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Коркино,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Крашенинино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31б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Липиха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Масали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Школьная, 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Нижнеманайская,31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Пятково, ул. Вишнякова, 23б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Гагарина,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. Скородум, ул. Молодежная,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Дзержинского, 1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АОУ ДОД «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Упоровская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 Володарского, 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Черная, ул. Школьная,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3169F" w:rsidRPr="00B3169F" w:rsidTr="00F52D7B">
        <w:trPr>
          <w:trHeight w:val="368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Детские организации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Буньково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 ул. 50 лет Октября,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Рабочая, 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Видонова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Сивковская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п.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Емуртлинский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охрина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B3169F" w:rsidRPr="00B3169F" w:rsidTr="00F52D7B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Ингалинское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 Школьная,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3169F" w:rsidRPr="00B3169F" w:rsidTr="00F52D7B">
        <w:trPr>
          <w:trHeight w:val="2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Коркино,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B3169F" w:rsidRPr="00B3169F" w:rsidTr="00F52D7B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Крашенинино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32А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B3169F" w:rsidRPr="00B3169F" w:rsidTr="00F52D7B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Масали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Школьная,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3169F" w:rsidRPr="00B3169F" w:rsidTr="00F52D7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п. Механизаторов, 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Рабочая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16а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B3169F" w:rsidRPr="00B3169F" w:rsidTr="00F52D7B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Нижнеманайская,31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3169F" w:rsidRPr="00B3169F" w:rsidTr="00F52D7B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п. Октябрьский,  ул. Шоссейная,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B3169F" w:rsidRPr="00B3169F" w:rsidTr="00F52D7B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Пятково, 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Кооперативная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B3169F" w:rsidRPr="00B3169F" w:rsidTr="00F52D7B">
        <w:trPr>
          <w:trHeight w:val="2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30 лет Победы,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B3169F" w:rsidRPr="00B3169F" w:rsidTr="00F52D7B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. Скородум, ул. Молодежная,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B3169F" w:rsidRPr="00B3169F" w:rsidTr="00F52D7B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Упорово, ул. Булата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Янтимирова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B3169F" w:rsidRPr="00B3169F" w:rsidTr="00F52D7B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Детский сад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Черная, ул. Молодежная,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B3169F" w:rsidRPr="00B3169F" w:rsidTr="00F52D7B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Медицинские организации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Буньково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Республики, 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Видонова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ул. Советская, 17а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п. Дубровинский,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Заречная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Ленинградская, 31б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Ингалинское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Школьная, </w:t>
            </w: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Карагужева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ул. Победы, 32а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Кашаир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Центральная, 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Кизак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Кизакская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16а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Киселево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Семкова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41а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Коркино,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66а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Крашенинино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29б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Липиха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Первых Коммунаров,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Лыково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Центральная, 23а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Масали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пер. Новый, 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п. Механизаторов,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Рабочая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Морево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Заречная,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ижнеманайская,20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Нифаки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Шоссейная,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Одино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Северная, 18а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п. Октябрьский, ул. Новая,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п. Первомайский, ул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ервомайская,14а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Поспелова, ул. Садовая,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Петропавловка, ул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 xml:space="preserve">рофсоюзная,35а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Пушкарева, ул. Октябрьская, 9а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Пятково,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Пионерская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 xml:space="preserve">, 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. Скородум, пер. Береговой,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Слободчики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Новая, 7/1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Старая Шадрина, ул. Боровая, 35а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30 лет Победы, 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Тополевка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Тополевская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93а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Тюменцева,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Приозерная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29а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ГБУЗ ТО </w:t>
            </w:r>
          </w:p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«Областная больница №12»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с. Упорово, ул. Володарского, 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Чащина, ул. Центральная, 25а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Черная, ул. Молодежная,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Шашова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Центральная, 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62</w:t>
            </w:r>
          </w:p>
        </w:tc>
      </w:tr>
      <w:tr w:rsidR="00B3169F" w:rsidRPr="00B3169F" w:rsidTr="00F52D7B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Объекты спорта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Буньковская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Буньково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Мира, 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Рабочая, 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Хоккейный корт, площадка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Бызово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Центральная, 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Емуртлинская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 пер. Школьный,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Спортивный зал                  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п.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Емуртлинский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Нохрина,4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Стадион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Ингалинское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Школьная, 16а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Спортивный зал                  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Коркино, ул. Буденного, 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Коркинская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Коркино,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Крашенининская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Крашенинино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31б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Липихинская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Липиха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Советская,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Спортзал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Масали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Центральная, 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Спортивный зал МОУ Масальская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Масали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Школьная,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Корт, городошная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Нижнеманайская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68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Спортивный зал МОУ Пятковская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с. Пятково, ул. Вишнякова, 23б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Хоккейный корт, площадка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30 лет Победы,2в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Суерка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Гагарина,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Спортивный зал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. Скородум, ул. Молодежная, 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Спортивно – оздоровительный комплекс 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Тютрина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>, ул. Школьная,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Упоровская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Дзержинского, 1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АОУ ДОД «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Упоровская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детская юношеская спортивная школа» Биатлонный центр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с. Упорово, ул. Каратаева, 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Хоккейный корт, площадка теннисный корт                     АУ «Физкультура и спорт»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Северная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АОУ ДОД «Центр реализации молодежных программ»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Северная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АОУ ДОД «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Упоровская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детская юношеская спортивная школа»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с. Упорово, ул. Строителей, 21б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АУ «Физкультура и спорт» спорткомплекс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с. Упорово, ул. 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Школьная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Черная, ул. Полевая, 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 xml:space="preserve">Спортивный зал МОУ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Чернаковская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д. Черная, ул. Школьная,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3169F" w:rsidRPr="00B3169F" w:rsidTr="00F52D7B">
        <w:trPr>
          <w:trHeight w:val="305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b/>
                <w:sz w:val="24"/>
                <w:szCs w:val="24"/>
              </w:rPr>
              <w:t xml:space="preserve">Места массового скопления граждан </w:t>
            </w:r>
          </w:p>
        </w:tc>
      </w:tr>
      <w:tr w:rsidR="00B3169F" w:rsidRPr="00B3169F" w:rsidTr="00F52D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Цен</w:t>
            </w:r>
            <w:proofErr w:type="gramStart"/>
            <w:r w:rsidRPr="00B3169F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B3169F">
              <w:rPr>
                <w:rFonts w:ascii="Arial" w:hAnsi="Arial" w:cs="Arial"/>
                <w:sz w:val="24"/>
                <w:szCs w:val="24"/>
              </w:rPr>
              <w:t>лощадь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169F">
              <w:rPr>
                <w:rFonts w:ascii="Arial" w:hAnsi="Arial" w:cs="Arial"/>
                <w:sz w:val="24"/>
                <w:szCs w:val="24"/>
              </w:rPr>
              <w:t>ДомаКультуры</w:t>
            </w:r>
            <w:proofErr w:type="spellEnd"/>
            <w:r w:rsidRPr="00B316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69F" w:rsidRPr="00B3169F" w:rsidRDefault="00B3169F" w:rsidP="00B3169F">
            <w:pPr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с. Упорово, ул. Крупской, 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9F" w:rsidRPr="00B3169F" w:rsidRDefault="00B3169F" w:rsidP="00B316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69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</w:tbl>
    <w:p w:rsidR="00B3169F" w:rsidRPr="00B3169F" w:rsidRDefault="00B3169F" w:rsidP="00B3169F"/>
    <w:p w:rsidR="00B3169F" w:rsidRDefault="00B3169F" w:rsidP="00AB242B">
      <w:pPr>
        <w:jc w:val="center"/>
      </w:pPr>
    </w:p>
    <w:sectPr w:rsidR="00B3169F" w:rsidSect="00F7587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47108"/>
    <w:multiLevelType w:val="hybridMultilevel"/>
    <w:tmpl w:val="0C14AB68"/>
    <w:lvl w:ilvl="0" w:tplc="CFB263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75"/>
    <w:rsid w:val="00033B19"/>
    <w:rsid w:val="002030AD"/>
    <w:rsid w:val="0049504C"/>
    <w:rsid w:val="005304FD"/>
    <w:rsid w:val="005F5A3D"/>
    <w:rsid w:val="00654E07"/>
    <w:rsid w:val="00890DB9"/>
    <w:rsid w:val="009031E2"/>
    <w:rsid w:val="00934C85"/>
    <w:rsid w:val="00A40B43"/>
    <w:rsid w:val="00AB242B"/>
    <w:rsid w:val="00B0591D"/>
    <w:rsid w:val="00B3169F"/>
    <w:rsid w:val="00DD4B27"/>
    <w:rsid w:val="00E13395"/>
    <w:rsid w:val="00EA463F"/>
    <w:rsid w:val="00F51F32"/>
    <w:rsid w:val="00F75875"/>
    <w:rsid w:val="00F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75"/>
  </w:style>
  <w:style w:type="paragraph" w:styleId="2">
    <w:name w:val="heading 2"/>
    <w:basedOn w:val="a"/>
    <w:next w:val="a"/>
    <w:link w:val="20"/>
    <w:qFormat/>
    <w:rsid w:val="00F758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7587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5875"/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75875"/>
    <w:rPr>
      <w:rFonts w:ascii="Times New Roman" w:eastAsia="Times New Roman" w:hAnsi="Times New Roman" w:cs="Times New Roman"/>
      <w:sz w:val="26"/>
      <w:szCs w:val="18"/>
      <w:lang w:eastAsia="ru-RU"/>
    </w:rPr>
  </w:style>
  <w:style w:type="paragraph" w:styleId="a3">
    <w:name w:val="Body Text Indent"/>
    <w:basedOn w:val="a"/>
    <w:link w:val="a4"/>
    <w:rsid w:val="00F75875"/>
    <w:pPr>
      <w:widowControl w:val="0"/>
      <w:autoSpaceDE w:val="0"/>
      <w:autoSpaceDN w:val="0"/>
      <w:adjustRightInd w:val="0"/>
      <w:spacing w:before="180"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75875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5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87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4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4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B242B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0"/>
      <w:lang w:eastAsia="zh-CN"/>
    </w:rPr>
  </w:style>
  <w:style w:type="table" w:styleId="a7">
    <w:name w:val="Table Grid"/>
    <w:basedOn w:val="a1"/>
    <w:uiPriority w:val="59"/>
    <w:rsid w:val="00AB2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AB2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316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75"/>
  </w:style>
  <w:style w:type="paragraph" w:styleId="2">
    <w:name w:val="heading 2"/>
    <w:basedOn w:val="a"/>
    <w:next w:val="a"/>
    <w:link w:val="20"/>
    <w:qFormat/>
    <w:rsid w:val="00F758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7587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5875"/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75875"/>
    <w:rPr>
      <w:rFonts w:ascii="Times New Roman" w:eastAsia="Times New Roman" w:hAnsi="Times New Roman" w:cs="Times New Roman"/>
      <w:sz w:val="26"/>
      <w:szCs w:val="18"/>
      <w:lang w:eastAsia="ru-RU"/>
    </w:rPr>
  </w:style>
  <w:style w:type="paragraph" w:styleId="a3">
    <w:name w:val="Body Text Indent"/>
    <w:basedOn w:val="a"/>
    <w:link w:val="a4"/>
    <w:rsid w:val="00F75875"/>
    <w:pPr>
      <w:widowControl w:val="0"/>
      <w:autoSpaceDE w:val="0"/>
      <w:autoSpaceDN w:val="0"/>
      <w:adjustRightInd w:val="0"/>
      <w:spacing w:before="180"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75875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5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87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4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4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B242B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0"/>
      <w:lang w:eastAsia="zh-CN"/>
    </w:rPr>
  </w:style>
  <w:style w:type="table" w:styleId="a7">
    <w:name w:val="Table Grid"/>
    <w:basedOn w:val="a1"/>
    <w:uiPriority w:val="59"/>
    <w:rsid w:val="00AB2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AB2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316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59792289AFA2936CA4F1030E684F8430C01319023DA725029A4DDE3F1FC1C4308DD7105AFB93E5L0m0J" TargetMode="External"/><Relationship Id="rId13" Type="http://schemas.openxmlformats.org/officeDocument/2006/relationships/hyperlink" Target="consultantplus://offline/ref=3A59792289AFA2936CA4F1030E684F8431C0161E033EFA2F0AC341DC38109ED337C4DB115AFA97LEm5J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hyperlink" Target="consultantplus://offline/ref=3A59792289AFA2936CA4F1030E684F8433C1151A0632A725029A4DDE3FL1m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A59792289AFA2936CA4F1030E684F8433CA111E0F34A725029A4DDE3F1FC1C4308DD7105AFB97E1L0m1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A59792289AFA2936CA4EF0E1804118B34C94C10013DA4755FC516836816CB93L7m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59792289AFA2936CA4F1030E684F8433C6121B0235A725029A4DDE3FL1mF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3059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Курушина Наталья Анатольевна</dc:creator>
  <cp:lastModifiedBy>Бобкова Юлия Юрьевна</cp:lastModifiedBy>
  <cp:revision>2</cp:revision>
  <dcterms:created xsi:type="dcterms:W3CDTF">2020-02-18T08:55:00Z</dcterms:created>
  <dcterms:modified xsi:type="dcterms:W3CDTF">2020-02-18T08:55:00Z</dcterms:modified>
</cp:coreProperties>
</file>